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F8500D" w14:paraId="7A2C7BC9" w14:textId="77777777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DFE5E99" w14:textId="77777777" w:rsidR="00F8500D" w:rsidRDefault="00A20224">
            <w:pPr>
              <w:spacing w:after="80"/>
              <w:jc w:val="center"/>
            </w:pPr>
            <w:proofErr w:type="gramStart"/>
            <w:r>
              <w:rPr>
                <w:b/>
                <w:bCs/>
              </w:rPr>
              <w:t>[ Полное</w:t>
            </w:r>
            <w:proofErr w:type="gramEnd"/>
            <w:r>
              <w:rPr>
                <w:b/>
                <w:bCs/>
              </w:rPr>
              <w:t xml:space="preserve"> наименование организации ]</w:t>
            </w:r>
          </w:p>
          <w:p w14:paraId="127FCF27" w14:textId="77777777" w:rsidR="00F8500D" w:rsidRDefault="00A20224">
            <w:pPr>
              <w:spacing w:after="80"/>
              <w:jc w:val="center"/>
            </w:pPr>
            <w:r>
              <w:rPr>
                <w:sz w:val="22"/>
                <w:szCs w:val="22"/>
              </w:rPr>
              <w:t>Сокращённое наименование: ____________________</w:t>
            </w:r>
          </w:p>
          <w:p w14:paraId="4C3ACE27" w14:textId="77777777" w:rsidR="00F8500D" w:rsidRDefault="00A20224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 xml:space="preserve">______________ / ______________   </w:t>
            </w:r>
            <w:r>
              <w:rPr>
                <w:b/>
                <w:bCs/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___________________</w:t>
            </w:r>
          </w:p>
          <w:p w14:paraId="070396D9" w14:textId="77777777" w:rsidR="00F8500D" w:rsidRDefault="00A20224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>
              <w:rPr>
                <w:sz w:val="22"/>
                <w:szCs w:val="22"/>
              </w:rPr>
              <w:t>______________________________________________________</w:t>
            </w:r>
          </w:p>
          <w:p w14:paraId="2FBEACCB" w14:textId="77777777" w:rsidR="00F8500D" w:rsidRDefault="00A20224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</w:rPr>
              <w:t>__________________________________________________________</w:t>
            </w:r>
          </w:p>
          <w:p w14:paraId="40F7B6CC" w14:textId="77777777" w:rsidR="00F8500D" w:rsidRDefault="00A20224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______________________   </w:t>
            </w:r>
            <w:r>
              <w:rPr>
                <w:b/>
                <w:bCs/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___________________   </w:t>
            </w:r>
            <w:proofErr w:type="spellStart"/>
            <w:r>
              <w:rPr>
                <w:b/>
                <w:bCs/>
                <w:sz w:val="22"/>
                <w:szCs w:val="22"/>
              </w:rPr>
              <w:t>Web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</w:t>
            </w:r>
          </w:p>
        </w:tc>
      </w:tr>
    </w:tbl>
    <w:p w14:paraId="1795B965" w14:textId="77777777" w:rsidR="00F8500D" w:rsidRDefault="00F8500D"/>
    <w:p w14:paraId="65F61668" w14:textId="77777777" w:rsidR="00F8500D" w:rsidRDefault="00A20224">
      <w:pPr>
        <w:spacing w:before="120" w:after="200"/>
      </w:pPr>
      <w:r>
        <w:rPr>
          <w:b/>
          <w:bCs/>
        </w:rPr>
        <w:t xml:space="preserve">Исх. № </w:t>
      </w:r>
      <w:r>
        <w:t xml:space="preserve">____________ </w:t>
      </w:r>
      <w:r>
        <w:rPr>
          <w:b/>
          <w:bCs/>
        </w:rPr>
        <w:t xml:space="preserve">от </w:t>
      </w:r>
      <w:r>
        <w:t>«___» __________</w:t>
      </w:r>
      <w:r>
        <w:t xml:space="preserve"> 20___ г.</w:t>
      </w:r>
    </w:p>
    <w:p w14:paraId="2CC66EE5" w14:textId="77777777" w:rsidR="00F8500D" w:rsidRDefault="00A20224">
      <w:pPr>
        <w:spacing w:line="312" w:lineRule="auto"/>
        <w:jc w:val="right"/>
      </w:pPr>
      <w:r>
        <w:t>Начальнику Управления Президента</w:t>
      </w:r>
    </w:p>
    <w:p w14:paraId="53991C3C" w14:textId="77777777" w:rsidR="00F8500D" w:rsidRDefault="00A20224">
      <w:pPr>
        <w:spacing w:line="312" w:lineRule="auto"/>
        <w:jc w:val="right"/>
      </w:pPr>
      <w:r>
        <w:t>Российской Федерации по развитию</w:t>
      </w:r>
    </w:p>
    <w:p w14:paraId="33DD09DB" w14:textId="77777777" w:rsidR="00F8500D" w:rsidRDefault="00A20224">
      <w:pPr>
        <w:spacing w:line="312" w:lineRule="auto"/>
        <w:jc w:val="right"/>
      </w:pPr>
      <w:r>
        <w:t>информационно-коммуникационных технологий</w:t>
      </w:r>
    </w:p>
    <w:p w14:paraId="41CFEB27" w14:textId="77777777" w:rsidR="00F8500D" w:rsidRDefault="00A20224">
      <w:pPr>
        <w:spacing w:after="80" w:line="312" w:lineRule="auto"/>
        <w:jc w:val="right"/>
      </w:pPr>
      <w:r>
        <w:t>и инфраструктуры связи</w:t>
      </w:r>
    </w:p>
    <w:p w14:paraId="607D13C7" w14:textId="77777777" w:rsidR="00F8500D" w:rsidRDefault="00A20224">
      <w:pPr>
        <w:spacing w:after="200" w:line="312" w:lineRule="auto"/>
        <w:jc w:val="right"/>
      </w:pPr>
      <w:r>
        <w:rPr>
          <w:b/>
          <w:bCs/>
        </w:rPr>
        <w:t>Матвеевой Татьяне Владимировне</w:t>
      </w:r>
    </w:p>
    <w:p w14:paraId="5014CFDE" w14:textId="77777777" w:rsidR="00BE6708" w:rsidRDefault="00BE6708">
      <w:pPr>
        <w:spacing w:line="312" w:lineRule="auto"/>
        <w:jc w:val="both"/>
        <w:rPr>
          <w:i/>
          <w:iCs/>
          <w:color w:val="595959"/>
          <w:sz w:val="22"/>
          <w:szCs w:val="22"/>
        </w:rPr>
      </w:pPr>
    </w:p>
    <w:p w14:paraId="08B90E99" w14:textId="6A04AAAE" w:rsidR="00F8500D" w:rsidRDefault="00A20224">
      <w:pPr>
        <w:spacing w:line="312" w:lineRule="auto"/>
        <w:jc w:val="both"/>
      </w:pPr>
      <w:r>
        <w:rPr>
          <w:b/>
          <w:bCs/>
        </w:rPr>
        <w:t>Тема</w:t>
      </w:r>
      <w:proofErr w:type="gramStart"/>
      <w:r>
        <w:rPr>
          <w:b/>
          <w:bCs/>
        </w:rPr>
        <w:t xml:space="preserve">: </w:t>
      </w:r>
      <w:r>
        <w:t>О</w:t>
      </w:r>
      <w:proofErr w:type="gramEnd"/>
      <w:r>
        <w:t xml:space="preserve"> ситуации с подготовкой реформы регулирования операторов связи.</w:t>
      </w:r>
    </w:p>
    <w:p w14:paraId="3E71C73E" w14:textId="77777777" w:rsidR="00F8500D" w:rsidRDefault="00A20224">
      <w:pPr>
        <w:spacing w:after="320" w:line="312" w:lineRule="auto"/>
        <w:jc w:val="both"/>
      </w:pPr>
      <w:r>
        <w:t>Просьба о содействии.</w:t>
      </w:r>
    </w:p>
    <w:p w14:paraId="2DF57030" w14:textId="77777777" w:rsidR="00F8500D" w:rsidRDefault="00A20224">
      <w:pPr>
        <w:spacing w:after="240"/>
        <w:ind w:firstLine="567"/>
      </w:pPr>
      <w:r>
        <w:rPr>
          <w:b/>
          <w:bCs/>
        </w:rPr>
        <w:t>Уважаемая Татьяна Владимировна!</w:t>
      </w:r>
    </w:p>
    <w:p w14:paraId="3BDDB309" w14:textId="77777777" w:rsidR="00F8500D" w:rsidRDefault="00A20224">
      <w:pPr>
        <w:spacing w:before="120" w:after="160"/>
      </w:pPr>
      <w:r>
        <w:rPr>
          <w:b/>
          <w:bCs/>
        </w:rPr>
        <w:t>1. О сложившейся ситуации</w:t>
      </w:r>
    </w:p>
    <w:p w14:paraId="432A32B1" w14:textId="77777777" w:rsidR="00F8500D" w:rsidRDefault="00A20224">
      <w:pPr>
        <w:spacing w:after="120"/>
        <w:ind w:firstLine="567"/>
        <w:jc w:val="both"/>
      </w:pPr>
      <w:r>
        <w:t>Обращаюсь к Вам как руководитель компании-оператора связи в связи с подготовкой ре</w:t>
      </w:r>
      <w:r>
        <w:t xml:space="preserve">формы отраслевого регулирования. В настоящее время в отрасли обсуждается инициатива </w:t>
      </w:r>
      <w:proofErr w:type="spellStart"/>
      <w:r>
        <w:t>Минцифры</w:t>
      </w:r>
      <w:proofErr w:type="spellEnd"/>
      <w:r>
        <w:t xml:space="preserve"> России о пересмотре требований к лицензированию деятельности операторов связи, к их технической и финансовой обеспеченности, а также к реализации мероприятий по СО</w:t>
      </w:r>
      <w:r>
        <w:t xml:space="preserve">РМ. Тезисы, обосновывающие необходимость такой реформы, изложены, в частности, в публично известном письме </w:t>
      </w:r>
      <w:proofErr w:type="spellStart"/>
      <w:r>
        <w:t>Минцифры</w:t>
      </w:r>
      <w:proofErr w:type="spellEnd"/>
      <w:r>
        <w:t xml:space="preserve"> России № МШ-П12-38538 от 28.04.2026.</w:t>
      </w:r>
    </w:p>
    <w:p w14:paraId="44E782A6" w14:textId="77777777" w:rsidR="00F8500D" w:rsidRDefault="00A20224">
      <w:pPr>
        <w:spacing w:after="120"/>
        <w:ind w:firstLine="567"/>
        <w:jc w:val="both"/>
      </w:pPr>
      <w:r>
        <w:t xml:space="preserve">Предлагаемые изменения, на наш взгляд, способны существенно повлиять на структуру российского рынка связи — прежде всего на работу региональных и местных операторов, обеспечивающих связь в населённых пунктах, куда федеральные игроки физически не приходят. </w:t>
      </w:r>
      <w:r>
        <w:t>Именно эта часть отрасли в первую очередь почувствует последствия реформы — а вместе с ней и абоненты в малых городах, посёлках и на сельских территориях.</w:t>
      </w:r>
    </w:p>
    <w:p w14:paraId="008BE5B0" w14:textId="77777777" w:rsidR="00F8500D" w:rsidRDefault="00A20224">
      <w:pPr>
        <w:spacing w:after="240"/>
        <w:ind w:firstLine="567"/>
        <w:jc w:val="both"/>
      </w:pPr>
      <w:r>
        <w:t>В связи с этим прошу Вашего внимания к позиции, которая складывается у работающих операторов и котора</w:t>
      </w:r>
      <w:r>
        <w:t>я, как нам кажется, заслуживает того, чтобы быть услышанной до принятия нормативных решений.</w:t>
      </w:r>
    </w:p>
    <w:p w14:paraId="11F73A14" w14:textId="77777777" w:rsidR="00F8500D" w:rsidRDefault="00A20224">
      <w:pPr>
        <w:spacing w:before="200" w:after="160"/>
      </w:pPr>
      <w:r>
        <w:rPr>
          <w:b/>
          <w:bCs/>
        </w:rPr>
        <w:t>2. О нашей компании</w:t>
      </w:r>
    </w:p>
    <w:p w14:paraId="547BBA07" w14:textId="77777777" w:rsidR="00F8500D" w:rsidRDefault="00A20224">
      <w:pPr>
        <w:spacing w:after="120"/>
        <w:ind w:firstLine="567"/>
        <w:jc w:val="both"/>
      </w:pPr>
      <w:r>
        <w:t>ООО (АО) «</w:t>
      </w:r>
      <w:r>
        <w:rPr>
          <w:b/>
          <w:bCs/>
        </w:rPr>
        <w:t>________________</w:t>
      </w:r>
      <w:r>
        <w:t xml:space="preserve">» — оператор связи, осуществляющий деятельность с </w:t>
      </w:r>
      <w:r>
        <w:rPr>
          <w:b/>
          <w:bCs/>
        </w:rPr>
        <w:t>_______ года</w:t>
      </w:r>
      <w:r>
        <w:t xml:space="preserve"> на территории </w:t>
      </w:r>
      <w:r>
        <w:rPr>
          <w:b/>
          <w:bCs/>
        </w:rPr>
        <w:t>________________________________</w:t>
      </w:r>
      <w:r>
        <w:t xml:space="preserve"> (субъек</w:t>
      </w:r>
      <w:r>
        <w:t>т РФ, перечень муниципальных образований).</w:t>
      </w:r>
    </w:p>
    <w:p w14:paraId="299C7CB1" w14:textId="77777777" w:rsidR="00F8500D" w:rsidRDefault="00A20224">
      <w:pPr>
        <w:spacing w:after="120"/>
        <w:ind w:firstLine="567"/>
        <w:jc w:val="both"/>
      </w:pPr>
      <w:r>
        <w:t xml:space="preserve">Компания обслуживает </w:t>
      </w:r>
      <w:r>
        <w:rPr>
          <w:b/>
          <w:bCs/>
        </w:rPr>
        <w:t>____ абонентов</w:t>
      </w:r>
      <w:r>
        <w:t xml:space="preserve"> (физических и юридических лиц), штатная численность сотрудников — </w:t>
      </w:r>
      <w:r>
        <w:rPr>
          <w:b/>
          <w:bCs/>
        </w:rPr>
        <w:t>____ человек</w:t>
      </w:r>
      <w:r>
        <w:t>.</w:t>
      </w:r>
    </w:p>
    <w:p w14:paraId="398B6C65" w14:textId="77777777" w:rsidR="00F8500D" w:rsidRDefault="00A20224">
      <w:pPr>
        <w:spacing w:before="200" w:after="160"/>
      </w:pPr>
      <w:r>
        <w:rPr>
          <w:b/>
          <w:bCs/>
        </w:rPr>
        <w:lastRenderedPageBreak/>
        <w:t xml:space="preserve">3. Публичная позиция </w:t>
      </w:r>
      <w:proofErr w:type="spellStart"/>
      <w:r>
        <w:rPr>
          <w:b/>
          <w:bCs/>
        </w:rPr>
        <w:t>Минцифры</w:t>
      </w:r>
      <w:proofErr w:type="spellEnd"/>
      <w:r>
        <w:rPr>
          <w:b/>
          <w:bCs/>
        </w:rPr>
        <w:t xml:space="preserve"> и фактическое положение дел</w:t>
      </w:r>
    </w:p>
    <w:p w14:paraId="34CA3C6D" w14:textId="77777777" w:rsidR="00F8500D" w:rsidRDefault="00A20224">
      <w:pPr>
        <w:spacing w:after="200"/>
        <w:ind w:firstLine="567"/>
        <w:jc w:val="both"/>
      </w:pPr>
      <w:r>
        <w:t xml:space="preserve">Для обоснования необходимости реформы </w:t>
      </w:r>
      <w:proofErr w:type="spellStart"/>
      <w:r>
        <w:t>Минцифрой</w:t>
      </w:r>
      <w:proofErr w:type="spellEnd"/>
      <w:r>
        <w:t xml:space="preserve"> приводится два ключевых тезиса.</w:t>
      </w:r>
    </w:p>
    <w:p w14:paraId="4D7D045A" w14:textId="77777777" w:rsidR="00F8500D" w:rsidRDefault="00A20224">
      <w:pPr>
        <w:spacing w:after="80"/>
        <w:ind w:firstLine="567"/>
        <w:jc w:val="both"/>
      </w:pPr>
      <w:r>
        <w:rPr>
          <w:b/>
          <w:bCs/>
        </w:rPr>
        <w:t>Тезис первый — о «простоте полу</w:t>
      </w:r>
      <w:r>
        <w:rPr>
          <w:b/>
          <w:bCs/>
        </w:rPr>
        <w:t>чения лицензий».</w:t>
      </w:r>
    </w:p>
    <w:p w14:paraId="501CD9F8" w14:textId="77777777" w:rsidR="00F8500D" w:rsidRDefault="00A20224">
      <w:pPr>
        <w:spacing w:after="200"/>
        <w:ind w:firstLine="567"/>
        <w:jc w:val="both"/>
      </w:pPr>
      <w:proofErr w:type="spellStart"/>
      <w:r>
        <w:t>Минцифрой</w:t>
      </w:r>
      <w:proofErr w:type="spellEnd"/>
      <w:r>
        <w:t xml:space="preserve"> указывается, что действующая система лицензирования характеризуется достаточно простым порядком, что якобы открывает дорогу недобросовестным операторам и не создаёт эффективных барьеров для входа на рынок.</w:t>
      </w:r>
    </w:p>
    <w:p w14:paraId="7DE2E0CC" w14:textId="77777777" w:rsidR="00F8500D" w:rsidRDefault="00A20224">
      <w:pPr>
        <w:spacing w:after="80"/>
        <w:ind w:firstLine="567"/>
        <w:jc w:val="both"/>
      </w:pPr>
      <w:r>
        <w:rPr>
          <w:b/>
          <w:bCs/>
        </w:rPr>
        <w:t>Тезис второй — о «невып</w:t>
      </w:r>
      <w:r>
        <w:rPr>
          <w:b/>
          <w:bCs/>
        </w:rPr>
        <w:t>олнении операторами требований СОРМ».</w:t>
      </w:r>
    </w:p>
    <w:p w14:paraId="03D6ECEC" w14:textId="77777777" w:rsidR="00F8500D" w:rsidRDefault="00A20224">
      <w:pPr>
        <w:spacing w:after="280"/>
        <w:ind w:firstLine="567"/>
        <w:jc w:val="both"/>
      </w:pPr>
      <w:r>
        <w:t>В письме указывается, что невыполнение операторами связи требований по реализации мероприятий по СОРМ требует принятия системных мер.</w:t>
      </w:r>
    </w:p>
    <w:p w14:paraId="674BC21E" w14:textId="77777777" w:rsidR="00F8500D" w:rsidRDefault="00A20224">
      <w:pPr>
        <w:spacing w:after="280"/>
        <w:ind w:firstLine="567"/>
        <w:jc w:val="both"/>
      </w:pPr>
      <w:r>
        <w:t>Со своей стороны — как практикующий оператор — мы хотели бы обратить Ваше внимание н</w:t>
      </w:r>
      <w:r>
        <w:t>а то, что фактическое состояние регулирования, на наш взгляд, существенно отличается от того, как оно описывается в публичных тезисах ведомства.</w:t>
      </w:r>
    </w:p>
    <w:p w14:paraId="6062F56D" w14:textId="77777777" w:rsidR="00F8500D" w:rsidRDefault="00A20224">
      <w:pPr>
        <w:spacing w:after="80"/>
        <w:ind w:firstLine="567"/>
        <w:jc w:val="both"/>
      </w:pPr>
      <w:r>
        <w:rPr>
          <w:b/>
          <w:bCs/>
        </w:rPr>
        <w:t>По первому тезису — об «открытом рынке без барьеров».</w:t>
      </w:r>
    </w:p>
    <w:p w14:paraId="4F6E5274" w14:textId="77777777" w:rsidR="00F8500D" w:rsidRDefault="00A20224">
      <w:pPr>
        <w:spacing w:after="160"/>
        <w:ind w:firstLine="567"/>
        <w:jc w:val="both"/>
      </w:pPr>
      <w:r>
        <w:t>На практике ситуация выглядит иначе.</w:t>
      </w:r>
    </w:p>
    <w:p w14:paraId="565E0FA5" w14:textId="77777777" w:rsidR="00F8500D" w:rsidRDefault="00A20224">
      <w:pPr>
        <w:spacing w:after="160"/>
        <w:ind w:firstLine="567"/>
        <w:jc w:val="both"/>
      </w:pPr>
      <w:r>
        <w:t>С 2023 года государс</w:t>
      </w:r>
      <w:r>
        <w:t xml:space="preserve">твенная пошлина за каждую лицензию в сфере связи (на услуги доступа в Интернет, передачу данных, аренду каналов связи, телефонию и любые услуги, требующие реализации СОРМ) составляет </w:t>
      </w:r>
      <w:r>
        <w:rPr>
          <w:b/>
          <w:bCs/>
        </w:rPr>
        <w:t>1 000 000 (один миллион) рублей</w:t>
      </w:r>
      <w:r>
        <w:t xml:space="preserve"> — порядок, который для малого и среднего </w:t>
      </w:r>
      <w:r>
        <w:t xml:space="preserve">бизнеса трудно охарактеризовать как «простой» </w:t>
      </w:r>
      <w:r>
        <w:rPr>
          <w:i/>
          <w:iCs/>
          <w:sz w:val="22"/>
          <w:szCs w:val="22"/>
        </w:rPr>
        <w:t>(п. 92.1 ст. 333.33 Налогового кодекса РФ в ред. ФЗ от 28.09.2023 № 497-ФЗ)</w:t>
      </w:r>
      <w:r>
        <w:t>.</w:t>
      </w:r>
    </w:p>
    <w:p w14:paraId="718B0F2B" w14:textId="77777777" w:rsidR="00F8500D" w:rsidRDefault="00A20224">
      <w:pPr>
        <w:spacing w:after="160"/>
        <w:ind w:firstLine="567"/>
        <w:jc w:val="both"/>
      </w:pPr>
      <w:r>
        <w:t xml:space="preserve">Эффект этой меры виден на статистике самого </w:t>
      </w:r>
      <w:proofErr w:type="spellStart"/>
      <w:r>
        <w:t>Роскомнадзора</w:t>
      </w:r>
      <w:proofErr w:type="spellEnd"/>
      <w:r>
        <w:t>: за два года, предшествовавшие повышению пошлины (с 01.01.2022 по 01.02.202</w:t>
      </w:r>
      <w:r>
        <w:t xml:space="preserve">4), было выдано </w:t>
      </w:r>
      <w:r>
        <w:rPr>
          <w:b/>
          <w:bCs/>
        </w:rPr>
        <w:t>6 466 лицензий</w:t>
      </w:r>
      <w:r>
        <w:t xml:space="preserve"> на услуги связи; за два последовавших года (с 01.02.2024 по 30.04.2026) — лишь </w:t>
      </w:r>
      <w:r>
        <w:rPr>
          <w:b/>
          <w:bCs/>
        </w:rPr>
        <w:t>172 лицензии</w:t>
      </w:r>
      <w:r>
        <w:t xml:space="preserve">. Сокращение — </w:t>
      </w:r>
      <w:r>
        <w:rPr>
          <w:b/>
          <w:bCs/>
        </w:rPr>
        <w:t>почти в 38 раз</w:t>
      </w:r>
      <w:r>
        <w:t>. Заградительный эффект уже сформирован действующим регулированием.</w:t>
      </w:r>
    </w:p>
    <w:p w14:paraId="7ED1E9D7" w14:textId="77777777" w:rsidR="00F8500D" w:rsidRDefault="00A20224">
      <w:pPr>
        <w:spacing w:after="160"/>
        <w:ind w:firstLine="567"/>
        <w:jc w:val="both"/>
      </w:pPr>
      <w:r>
        <w:t>Дополнительно действуют требования об</w:t>
      </w:r>
      <w:r>
        <w:t xml:space="preserve"> обязательном согласовании схемы пропуска трафика с </w:t>
      </w:r>
      <w:proofErr w:type="spellStart"/>
      <w:r>
        <w:t>Роскомнадзором</w:t>
      </w:r>
      <w:proofErr w:type="spellEnd"/>
      <w:r>
        <w:t xml:space="preserve"> при получении лицензии, а также механизм прекращения действия лицензии </w:t>
      </w:r>
      <w:proofErr w:type="spellStart"/>
      <w:r>
        <w:t>Роскомнадзором</w:t>
      </w:r>
      <w:proofErr w:type="spellEnd"/>
      <w:r>
        <w:t xml:space="preserve"> за непредставление (или ненадлежащее представление) отчёта о деятельности и за неоказание услуг связи б</w:t>
      </w:r>
      <w:r>
        <w:t xml:space="preserve">олее шести месяцев. По указанным основаниям с 2024 года и по настоящее время </w:t>
      </w:r>
      <w:r>
        <w:rPr>
          <w:b/>
          <w:bCs/>
        </w:rPr>
        <w:t>прекращено около 3 300 лицензий</w:t>
      </w:r>
      <w:r>
        <w:t xml:space="preserve"> </w:t>
      </w:r>
      <w:r>
        <w:rPr>
          <w:i/>
          <w:iCs/>
          <w:sz w:val="22"/>
          <w:szCs w:val="22"/>
        </w:rPr>
        <w:t xml:space="preserve">(п. 8 ч. 1 ст. 30, п. 5–6 ст. 39 Федерального закона «О связи» № 126-ФЗ в ред. ФЗ от 04.08.2023 № 473-ФЗ; приказы </w:t>
      </w:r>
      <w:proofErr w:type="spellStart"/>
      <w:r>
        <w:rPr>
          <w:i/>
          <w:iCs/>
          <w:sz w:val="22"/>
          <w:szCs w:val="22"/>
        </w:rPr>
        <w:t>Роскомнадзора</w:t>
      </w:r>
      <w:proofErr w:type="spellEnd"/>
      <w:r>
        <w:rPr>
          <w:i/>
          <w:iCs/>
          <w:sz w:val="22"/>
          <w:szCs w:val="22"/>
        </w:rPr>
        <w:t xml:space="preserve"> № 357-рчс от 21.04.</w:t>
      </w:r>
      <w:r>
        <w:rPr>
          <w:i/>
          <w:iCs/>
          <w:sz w:val="22"/>
          <w:szCs w:val="22"/>
        </w:rPr>
        <w:t>2026, № 413-рчс от 29.05.2025, № 420-рчс от 28.08.2024)</w:t>
      </w:r>
      <w:r>
        <w:t>.</w:t>
      </w:r>
    </w:p>
    <w:p w14:paraId="5604DBCF" w14:textId="77777777" w:rsidR="00F8500D" w:rsidRDefault="00A20224">
      <w:pPr>
        <w:spacing w:after="200"/>
        <w:ind w:firstLine="567"/>
        <w:jc w:val="both"/>
      </w:pPr>
      <w:r>
        <w:t>То есть мы наблюдаем не «открытый рынок без барьеров», а уже работающий и довольно жёсткий фильтр, который последовательно сокращает число операторов.</w:t>
      </w:r>
    </w:p>
    <w:p w14:paraId="13717409" w14:textId="77777777" w:rsidR="00F8500D" w:rsidRDefault="00A20224">
      <w:pPr>
        <w:spacing w:after="280"/>
        <w:ind w:firstLine="567"/>
        <w:jc w:val="both"/>
      </w:pPr>
      <w:r>
        <w:rPr>
          <w:b/>
          <w:bCs/>
        </w:rPr>
        <w:t xml:space="preserve">Возникает закономерный вопрос: </w:t>
      </w:r>
      <w:r>
        <w:t>зачем нужны новые</w:t>
      </w:r>
      <w:r>
        <w:t xml:space="preserve"> барьеры, если действующие уже достаточно эффективны?</w:t>
      </w:r>
    </w:p>
    <w:p w14:paraId="027D3CF6" w14:textId="77777777" w:rsidR="00F8500D" w:rsidRDefault="00A20224">
      <w:pPr>
        <w:spacing w:after="80"/>
        <w:ind w:firstLine="567"/>
        <w:jc w:val="both"/>
      </w:pPr>
      <w:r>
        <w:rPr>
          <w:b/>
          <w:bCs/>
        </w:rPr>
        <w:t>По второму тезису — о «невыполнении операторами требований СОРМ».</w:t>
      </w:r>
    </w:p>
    <w:p w14:paraId="19986BFB" w14:textId="77777777" w:rsidR="00F8500D" w:rsidRDefault="00A20224">
      <w:pPr>
        <w:spacing w:after="160"/>
        <w:ind w:firstLine="567"/>
        <w:jc w:val="both"/>
      </w:pPr>
      <w:r>
        <w:t>На практике системные меры в этой сфере уже приняты и активно применяются. К любому заявлению о предоставлении, продлении срока действия</w:t>
      </w:r>
      <w:r>
        <w:t xml:space="preserve"> или изменении территории оказания услуг связи </w:t>
      </w:r>
      <w:r>
        <w:rPr>
          <w:b/>
          <w:bCs/>
        </w:rPr>
        <w:t>в обязательном порядке прилагается схема построения сети связи, согласованная с ФСБ России</w:t>
      </w:r>
      <w:r>
        <w:t xml:space="preserve"> </w:t>
      </w:r>
      <w:r>
        <w:rPr>
          <w:i/>
          <w:iCs/>
          <w:sz w:val="22"/>
          <w:szCs w:val="22"/>
        </w:rPr>
        <w:t>(п. 2 ст. 30, п. 4 ст. 33, ст. 35 Федерального закона «О связи» № 126-ФЗ)</w:t>
      </w:r>
      <w:r>
        <w:t>.</w:t>
      </w:r>
    </w:p>
    <w:p w14:paraId="07734206" w14:textId="77777777" w:rsidR="00F8500D" w:rsidRDefault="00A20224">
      <w:pPr>
        <w:spacing w:after="160"/>
        <w:ind w:firstLine="567"/>
        <w:jc w:val="both"/>
      </w:pPr>
      <w:r>
        <w:lastRenderedPageBreak/>
        <w:t xml:space="preserve">Ответственность за неисполнение требований СОРМ установлена ст. 13.46 КоАП РФ — в виде штрафа в размере </w:t>
      </w:r>
      <w:r>
        <w:rPr>
          <w:b/>
          <w:bCs/>
        </w:rPr>
        <w:t>не менее 1 000 000 рублей</w:t>
      </w:r>
      <w:r>
        <w:t xml:space="preserve">, а за повторное нарушение — в размере </w:t>
      </w:r>
      <w:r>
        <w:rPr>
          <w:b/>
          <w:bCs/>
        </w:rPr>
        <w:t>от 1/100 до 3/100 совокупной выручки оператора</w:t>
      </w:r>
      <w:r>
        <w:t xml:space="preserve"> </w:t>
      </w:r>
      <w:r>
        <w:rPr>
          <w:i/>
          <w:iCs/>
          <w:sz w:val="22"/>
          <w:szCs w:val="22"/>
        </w:rPr>
        <w:t>(Федеральный закон от 13.06.2023 № 223-ФЗ</w:t>
      </w:r>
      <w:r>
        <w:rPr>
          <w:i/>
          <w:iCs/>
          <w:sz w:val="22"/>
          <w:szCs w:val="22"/>
        </w:rPr>
        <w:t>)</w:t>
      </w:r>
      <w:r>
        <w:t>.</w:t>
      </w:r>
    </w:p>
    <w:p w14:paraId="6BB88F62" w14:textId="77777777" w:rsidR="00F8500D" w:rsidRDefault="00A20224">
      <w:pPr>
        <w:spacing w:after="160"/>
        <w:ind w:firstLine="567"/>
        <w:jc w:val="both"/>
      </w:pPr>
      <w:r>
        <w:t xml:space="preserve">По статистике мировых судов России, с 01.01.2024 по настоящее время по ст. 13.46 КоАП РФ </w:t>
      </w:r>
      <w:r>
        <w:rPr>
          <w:b/>
          <w:bCs/>
        </w:rPr>
        <w:t>возбуждено 589 дел</w:t>
      </w:r>
      <w:r>
        <w:t xml:space="preserve">, в подавляющем большинстве которых назначены штрафы от 1 млн рублей и выше </w:t>
      </w:r>
      <w:r>
        <w:rPr>
          <w:i/>
          <w:iCs/>
          <w:sz w:val="22"/>
          <w:szCs w:val="22"/>
        </w:rPr>
        <w:t>(данные сайтов мировых судов: sudact.ru, mos-sud.ru, mirsud.spb.ru, mirsud.mos-gorsud.ru, mirsud82.rk.gov.ru)</w:t>
      </w:r>
      <w:r>
        <w:t>.</w:t>
      </w:r>
    </w:p>
    <w:p w14:paraId="22618D14" w14:textId="77777777" w:rsidR="00F8500D" w:rsidRDefault="00A20224">
      <w:pPr>
        <w:spacing w:after="280"/>
        <w:ind w:firstLine="567"/>
        <w:jc w:val="both"/>
      </w:pPr>
      <w:r>
        <w:t>Иными словами, механизм понуждения операторов к исполнению требований</w:t>
      </w:r>
      <w:r>
        <w:t xml:space="preserve"> СОРМ существует, активно применяется и приносит ощутимые результаты. Введение в дополнение к нему новых «системных мер», на наш взгляд, представляется избыточным.</w:t>
      </w:r>
    </w:p>
    <w:p w14:paraId="136DF017" w14:textId="77777777" w:rsidR="00F8500D" w:rsidRDefault="00A20224">
      <w:pPr>
        <w:spacing w:after="240"/>
        <w:ind w:firstLine="567"/>
        <w:jc w:val="both"/>
      </w:pPr>
      <w:r>
        <w:t>Таким образом, описание текущей системы регулирования в публичных тезисах ведомства — как «с</w:t>
      </w:r>
      <w:r>
        <w:t>лишком мягкой» и «требующей жёстких новых барьеров» — расходится, с нашей точки зрения, с фактической нормативной картиной и правоприменительной практикой. Это важная разница: ужесточение, которое накладывается поверх уже работающих заградительных механизм</w:t>
      </w:r>
      <w:r>
        <w:t>ов, рискует не «навести порядок», а закрыть рынок связи для всех, кроме нескольких крупнейших игроков.</w:t>
      </w:r>
    </w:p>
    <w:p w14:paraId="7BA06231" w14:textId="77777777" w:rsidR="00F8500D" w:rsidRDefault="00A20224">
      <w:pPr>
        <w:spacing w:before="200" w:after="160"/>
      </w:pPr>
      <w:r>
        <w:rPr>
          <w:b/>
          <w:bCs/>
        </w:rPr>
        <w:t>4. К чему может привести реформа</w:t>
      </w:r>
    </w:p>
    <w:p w14:paraId="52E3E8B6" w14:textId="77777777" w:rsidR="00F8500D" w:rsidRDefault="00A20224">
      <w:pPr>
        <w:spacing w:after="160"/>
        <w:ind w:firstLine="567"/>
        <w:jc w:val="both"/>
      </w:pPr>
      <w:r>
        <w:t>Если инициатива будет принята в текущей редакции — поверх уже действующих барьеров, описанных выше, — операторское сообщ</w:t>
      </w:r>
      <w:r>
        <w:t>ество прогнозирует следующие последствия, которые, на наш взгляд, заслуживают самостоятельной проверки и взвешенной оценки:</w:t>
      </w:r>
    </w:p>
    <w:p w14:paraId="0C637226" w14:textId="77777777" w:rsidR="00F8500D" w:rsidRDefault="00A20224">
      <w:pPr>
        <w:spacing w:after="80" w:line="312" w:lineRule="auto"/>
        <w:ind w:left="567"/>
        <w:jc w:val="both"/>
      </w:pPr>
      <w:r>
        <w:t>1) сокращение числа действующих операторов связи, прежде всего региональных и местных;</w:t>
      </w:r>
    </w:p>
    <w:p w14:paraId="5E1EE216" w14:textId="77777777" w:rsidR="00F8500D" w:rsidRDefault="00A20224">
      <w:pPr>
        <w:spacing w:after="80" w:line="312" w:lineRule="auto"/>
        <w:ind w:left="567"/>
        <w:jc w:val="both"/>
      </w:pPr>
      <w:r>
        <w:t>2) снижение доступности услуг связи в населён</w:t>
      </w:r>
      <w:r>
        <w:t>ных пунктах, где федеральные операторы не присутствуют либо не планируют развёртывание собственной инфраструктуры (малые города, посёлки, сельские территории, часть новых регионов);</w:t>
      </w:r>
    </w:p>
    <w:p w14:paraId="61D44E5E" w14:textId="77777777" w:rsidR="00F8500D" w:rsidRDefault="00A20224">
      <w:pPr>
        <w:spacing w:after="80" w:line="312" w:lineRule="auto"/>
        <w:ind w:left="567"/>
        <w:jc w:val="both"/>
      </w:pPr>
      <w:r>
        <w:t xml:space="preserve">3) рост тарифов на услуги связи в связи с уменьшением конкуренции — в том </w:t>
      </w:r>
      <w:r>
        <w:t>числе в сегментах, где уже сегодня в отсутствие альтернативных операторов наблюдается ценообразование, превышающее средние рыночные значения;</w:t>
      </w:r>
    </w:p>
    <w:p w14:paraId="28CF46F7" w14:textId="77777777" w:rsidR="00F8500D" w:rsidRDefault="00A20224">
      <w:pPr>
        <w:spacing w:after="80" w:line="312" w:lineRule="auto"/>
        <w:ind w:left="567"/>
        <w:jc w:val="both"/>
      </w:pPr>
      <w:r>
        <w:t>4) сокращение рабочих мест в региональных компаниях связи и связанных сферах (монтажные бригады, инженерные службы</w:t>
      </w:r>
      <w:r>
        <w:t>, бухгалтерия, абонентские отделы);</w:t>
      </w:r>
    </w:p>
    <w:p w14:paraId="32E22AE7" w14:textId="77777777" w:rsidR="00F8500D" w:rsidRDefault="00A20224">
      <w:pPr>
        <w:spacing w:after="80" w:line="312" w:lineRule="auto"/>
        <w:ind w:left="567"/>
        <w:jc w:val="both"/>
      </w:pPr>
      <w:r>
        <w:t>5) снижение поступлений в региональные и местные бюджеты (НДФЛ, налог на имущество, страховые взносы);</w:t>
      </w:r>
    </w:p>
    <w:p w14:paraId="2994AA19" w14:textId="77777777" w:rsidR="00F8500D" w:rsidRDefault="00A20224">
      <w:pPr>
        <w:spacing w:after="200" w:line="312" w:lineRule="auto"/>
        <w:ind w:left="567"/>
        <w:jc w:val="both"/>
      </w:pPr>
      <w:r>
        <w:t>6) рост технических рисков для устойчивости связи в кризисных ситуациях вследствие сокращения числа независимых сетей</w:t>
      </w:r>
      <w:r>
        <w:t xml:space="preserve"> и точек обмена трафиком.</w:t>
      </w:r>
    </w:p>
    <w:p w14:paraId="7CD5C628" w14:textId="77777777" w:rsidR="00F8500D" w:rsidRDefault="00A20224">
      <w:pPr>
        <w:spacing w:before="200" w:after="160"/>
      </w:pPr>
      <w:r>
        <w:rPr>
          <w:b/>
          <w:bCs/>
        </w:rPr>
        <w:t>5. Просьба о содейств</w:t>
      </w:r>
      <w:r>
        <w:rPr>
          <w:b/>
          <w:bCs/>
        </w:rPr>
        <w:t>ии</w:t>
      </w:r>
    </w:p>
    <w:p w14:paraId="301FEBE9" w14:textId="77777777" w:rsidR="00F8500D" w:rsidRDefault="00A20224">
      <w:pPr>
        <w:spacing w:after="160"/>
        <w:ind w:firstLine="567"/>
        <w:jc w:val="both"/>
      </w:pPr>
      <w:r>
        <w:t xml:space="preserve">Уважаемая Татьяна Владимировна, изложенные обстоятельства вызывают серьёзную обеспокоенность у нашей компании и у профессионального сообщества в целом. В связи с </w:t>
      </w:r>
      <w:r>
        <w:lastRenderedPageBreak/>
        <w:t xml:space="preserve">этим — с уважением и надеждой на понимание — </w:t>
      </w:r>
      <w:r>
        <w:rPr>
          <w:b/>
          <w:bCs/>
        </w:rPr>
        <w:t xml:space="preserve">очень просим Вашего содействия </w:t>
      </w:r>
      <w:r>
        <w:t>в следующем:</w:t>
      </w:r>
    </w:p>
    <w:p w14:paraId="53AA1B64" w14:textId="77777777" w:rsidR="00F8500D" w:rsidRDefault="00A20224">
      <w:pPr>
        <w:spacing w:after="120"/>
        <w:ind w:firstLine="567"/>
        <w:jc w:val="both"/>
      </w:pPr>
      <w:r>
        <w:rPr>
          <w:b/>
          <w:bCs/>
        </w:rPr>
        <w:t>5.</w:t>
      </w:r>
      <w:r>
        <w:rPr>
          <w:b/>
          <w:bCs/>
        </w:rPr>
        <w:t xml:space="preserve">1. </w:t>
      </w:r>
      <w:r>
        <w:t xml:space="preserve">просим обратить внимание на изложенную позицию работающих операторов связи и </w:t>
      </w:r>
      <w:r>
        <w:rPr>
          <w:b/>
          <w:bCs/>
        </w:rPr>
        <w:t>посодействовать</w:t>
      </w:r>
      <w:r>
        <w:t xml:space="preserve"> проведению публичных консультаций с участием представителей отрасли — до принятия каких-либо нормативных решений по реформе;</w:t>
      </w:r>
    </w:p>
    <w:p w14:paraId="3FE9ABB0" w14:textId="77777777" w:rsidR="00F8500D" w:rsidRDefault="00A20224">
      <w:pPr>
        <w:spacing w:after="80"/>
        <w:ind w:firstLine="567"/>
        <w:jc w:val="both"/>
      </w:pPr>
      <w:r>
        <w:rPr>
          <w:b/>
          <w:bCs/>
        </w:rPr>
        <w:t xml:space="preserve">5.2. </w:t>
      </w:r>
      <w:r>
        <w:t xml:space="preserve">будем </w:t>
      </w:r>
      <w:r>
        <w:rPr>
          <w:b/>
          <w:bCs/>
        </w:rPr>
        <w:t>очень признательны за поддержку</w:t>
      </w:r>
      <w:r>
        <w:t xml:space="preserve"> проведения независимой оценки социально-экономических последствий предлагаемых изменений, в том числе оценки:</w:t>
      </w:r>
    </w:p>
    <w:p w14:paraId="026C490C" w14:textId="77777777" w:rsidR="00F8500D" w:rsidRDefault="00A20224">
      <w:pPr>
        <w:spacing w:after="60" w:line="312" w:lineRule="auto"/>
        <w:ind w:left="1134"/>
        <w:jc w:val="both"/>
      </w:pPr>
      <w:r>
        <w:t>• количества операторов, для которых исполнение новых требований окажется экономически неосуществимым;</w:t>
      </w:r>
    </w:p>
    <w:p w14:paraId="0F3AF720" w14:textId="77777777" w:rsidR="00F8500D" w:rsidRDefault="00A20224">
      <w:pPr>
        <w:spacing w:after="60" w:line="312" w:lineRule="auto"/>
        <w:ind w:left="1134"/>
        <w:jc w:val="both"/>
      </w:pPr>
      <w:r>
        <w:t>• последств</w:t>
      </w:r>
      <w:r>
        <w:t>ий для абонентов в малых городах, посёлках, сельских территориях и новых регионах;</w:t>
      </w:r>
    </w:p>
    <w:p w14:paraId="64274F15" w14:textId="77777777" w:rsidR="00F8500D" w:rsidRDefault="00A20224">
      <w:pPr>
        <w:spacing w:after="60" w:line="312" w:lineRule="auto"/>
        <w:ind w:left="1134"/>
        <w:jc w:val="both"/>
      </w:pPr>
      <w:r>
        <w:t>• влияния на тарифы и качество услуг связи в условиях сокращения числа конкурентов;</w:t>
      </w:r>
    </w:p>
    <w:p w14:paraId="5311BBE8" w14:textId="77777777" w:rsidR="00F8500D" w:rsidRDefault="00A20224">
      <w:pPr>
        <w:spacing w:after="120" w:line="312" w:lineRule="auto"/>
        <w:ind w:left="1134"/>
        <w:jc w:val="both"/>
      </w:pPr>
      <w:r>
        <w:t>• сокращения рабочих мест и налоговых поступлений в региональные и местные бюджеты;</w:t>
      </w:r>
    </w:p>
    <w:p w14:paraId="6A62A6F8" w14:textId="77777777" w:rsidR="00F8500D" w:rsidRDefault="00A20224">
      <w:pPr>
        <w:spacing w:after="120"/>
        <w:ind w:firstLine="567"/>
        <w:jc w:val="both"/>
      </w:pPr>
      <w:r>
        <w:rPr>
          <w:b/>
          <w:bCs/>
        </w:rPr>
        <w:t xml:space="preserve">5.3. </w:t>
      </w:r>
      <w:r>
        <w:t xml:space="preserve">просим </w:t>
      </w:r>
      <w:r>
        <w:rPr>
          <w:b/>
          <w:bCs/>
        </w:rPr>
        <w:t>помочь</w:t>
      </w:r>
      <w:r>
        <w:t xml:space="preserve"> с включением представителей отраслевых объединений малых операторов связи (АМОР, АСТО и других) в состав рабочей группы по подготовке нормативной базы — чтобы голос операторов, обеспечивающих связь «на местах», был услышан на этапе подготовки</w:t>
      </w:r>
      <w:r>
        <w:t xml:space="preserve"> решений, а не после их принятия;</w:t>
      </w:r>
    </w:p>
    <w:p w14:paraId="65AC6350" w14:textId="77777777" w:rsidR="00F8500D" w:rsidRDefault="00A20224">
      <w:pPr>
        <w:spacing w:after="200"/>
        <w:ind w:firstLine="567"/>
        <w:jc w:val="both"/>
      </w:pPr>
      <w:r>
        <w:rPr>
          <w:b/>
          <w:bCs/>
        </w:rPr>
        <w:t xml:space="preserve">5.4. </w:t>
      </w:r>
      <w:r>
        <w:t xml:space="preserve">в соответствии с Федеральным законом от 02.05.2006 № 59-ФЗ просим направить в наш адрес письменный </w:t>
      </w:r>
      <w:proofErr w:type="gramStart"/>
      <w:r>
        <w:t>ответ по существу</w:t>
      </w:r>
      <w:proofErr w:type="gramEnd"/>
      <w:r>
        <w:t xml:space="preserve"> настоящего обращения в установленный 30-дневный срок.</w:t>
      </w:r>
    </w:p>
    <w:p w14:paraId="062DF591" w14:textId="4BD76C7B" w:rsidR="00F8500D" w:rsidRDefault="00A20224" w:rsidP="003E4BF4">
      <w:pPr>
        <w:spacing w:after="320"/>
        <w:ind w:firstLine="567"/>
        <w:jc w:val="both"/>
      </w:pPr>
      <w:r>
        <w:t xml:space="preserve">Будем искренне благодарны за внимание к нашему обращению и за любую возможную помощь </w:t>
      </w:r>
      <w:r>
        <w:t>в том, чтобы решения по будущему отрасли принимались с учётом позиции тех, кто эту отрасль ежедневно обеспечивает.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500"/>
      </w:tblGrid>
      <w:tr w:rsidR="00F8500D" w14:paraId="5A622A7E" w14:textId="77777777">
        <w:tblPrEx>
          <w:tblCellMar>
            <w:top w:w="0" w:type="dxa"/>
            <w:bottom w:w="0" w:type="dxa"/>
          </w:tblCellMar>
        </w:tblPrEx>
        <w:tc>
          <w:tcPr>
            <w:tcW w:w="48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100" w:type="dxa"/>
            </w:tcMar>
          </w:tcPr>
          <w:p w14:paraId="2C325C6C" w14:textId="77777777" w:rsidR="00F8500D" w:rsidRDefault="00A20224">
            <w:pPr>
              <w:spacing w:after="200"/>
            </w:pPr>
            <w:r>
              <w:t>С уважением,</w:t>
            </w:r>
          </w:p>
          <w:p w14:paraId="23105D2C" w14:textId="77777777" w:rsidR="00F8500D" w:rsidRDefault="00A20224">
            <w:pPr>
              <w:spacing w:after="80"/>
            </w:pPr>
            <w:r>
              <w:rPr>
                <w:b/>
                <w:bCs/>
              </w:rPr>
              <w:t>Генеральный директор</w:t>
            </w:r>
          </w:p>
          <w:p w14:paraId="45D334D4" w14:textId="77777777" w:rsidR="00F8500D" w:rsidRDefault="00A20224">
            <w:pPr>
              <w:spacing w:after="320"/>
            </w:pPr>
            <w:r>
              <w:t>ООО (АО) «________________»</w:t>
            </w:r>
          </w:p>
          <w:p w14:paraId="529E8CAB" w14:textId="77777777" w:rsidR="00F8500D" w:rsidRDefault="00A20224">
            <w:r>
              <w:rPr>
                <w:b/>
                <w:bCs/>
              </w:rPr>
              <w:t>М.П.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0" w:type="dxa"/>
            </w:tcMar>
          </w:tcPr>
          <w:p w14:paraId="27876C4A" w14:textId="77777777" w:rsidR="00F8500D" w:rsidRDefault="00F8500D">
            <w:pPr>
              <w:spacing w:after="200"/>
            </w:pPr>
          </w:p>
          <w:p w14:paraId="11522981" w14:textId="77777777" w:rsidR="00F8500D" w:rsidRDefault="00A20224">
            <w:pPr>
              <w:spacing w:after="60"/>
              <w:jc w:val="right"/>
            </w:pPr>
            <w:r>
              <w:t>____________ / ____________________ /</w:t>
            </w:r>
          </w:p>
          <w:p w14:paraId="180EEC71" w14:textId="77777777" w:rsidR="00F8500D" w:rsidRDefault="00A20224">
            <w:pPr>
              <w:spacing w:after="320"/>
              <w:jc w:val="right"/>
            </w:pPr>
            <w:r>
              <w:rPr>
                <w:i/>
                <w:iCs/>
                <w:color w:val="808080"/>
                <w:sz w:val="22"/>
                <w:szCs w:val="22"/>
              </w:rPr>
              <w:t>(</w:t>
            </w:r>
            <w:proofErr w:type="gramStart"/>
            <w:r>
              <w:rPr>
                <w:i/>
                <w:iCs/>
                <w:color w:val="808080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i/>
                <w:iCs/>
                <w:color w:val="808080"/>
                <w:sz w:val="22"/>
                <w:szCs w:val="22"/>
              </w:rPr>
              <w:t xml:space="preserve">               (И.О. Фамилия)</w:t>
            </w:r>
          </w:p>
          <w:p w14:paraId="0F9175D5" w14:textId="77777777" w:rsidR="00F8500D" w:rsidRDefault="00A20224">
            <w:pPr>
              <w:jc w:val="right"/>
            </w:pPr>
            <w:r>
              <w:t>«___» __________ 20___ г.</w:t>
            </w:r>
          </w:p>
        </w:tc>
      </w:tr>
    </w:tbl>
    <w:p w14:paraId="030513DF" w14:textId="77777777" w:rsidR="00F8500D" w:rsidRDefault="00F8500D"/>
    <w:p w14:paraId="772E7E34" w14:textId="2F09D4A9" w:rsidR="00F8500D" w:rsidRDefault="00F8500D" w:rsidP="003E4BF4">
      <w:pPr>
        <w:spacing w:after="60" w:line="312" w:lineRule="auto"/>
        <w:jc w:val="both"/>
      </w:pPr>
    </w:p>
    <w:sectPr w:rsidR="00F8500D">
      <w:headerReference w:type="default" r:id="rId7"/>
      <w:pgSz w:w="11906" w:h="16838"/>
      <w:pgMar w:top="1134" w:right="850" w:bottom="1134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5888" w14:textId="77777777" w:rsidR="00A20224" w:rsidRDefault="00A20224">
      <w:r>
        <w:separator/>
      </w:r>
    </w:p>
  </w:endnote>
  <w:endnote w:type="continuationSeparator" w:id="0">
    <w:p w14:paraId="2E3ACFA8" w14:textId="77777777" w:rsidR="00A20224" w:rsidRDefault="00A2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6D25" w14:textId="77777777" w:rsidR="00A20224" w:rsidRDefault="00A20224">
      <w:r>
        <w:separator/>
      </w:r>
    </w:p>
  </w:footnote>
  <w:footnote w:type="continuationSeparator" w:id="0">
    <w:p w14:paraId="3DDC48AA" w14:textId="77777777" w:rsidR="00A20224" w:rsidRDefault="00A2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1803" w14:textId="77777777" w:rsidR="00F8500D" w:rsidRDefault="00A20224">
    <w:pPr>
      <w:jc w:val="right"/>
    </w:pPr>
    <w:r>
      <w:rPr>
        <w:color w:val="808080"/>
        <w:sz w:val="20"/>
        <w:szCs w:val="20"/>
      </w:rPr>
      <w:t xml:space="preserve">Стр. </w:t>
    </w: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0F2FEC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  <w:r>
      <w:rPr>
        <w:color w:val="808080"/>
        <w:sz w:val="20"/>
        <w:szCs w:val="20"/>
      </w:rPr>
      <w:t xml:space="preserve"> / </w:t>
    </w: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NUMPAGES</w:instrText>
    </w:r>
    <w:r>
      <w:rPr>
        <w:color w:val="808080"/>
        <w:sz w:val="20"/>
        <w:szCs w:val="20"/>
      </w:rPr>
      <w:fldChar w:fldCharType="separate"/>
    </w:r>
    <w:r w:rsidR="000F2FEC"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F4610"/>
    <w:multiLevelType w:val="hybridMultilevel"/>
    <w:tmpl w:val="1D9681B4"/>
    <w:lvl w:ilvl="0" w:tplc="68EEDFEA">
      <w:start w:val="1"/>
      <w:numFmt w:val="bullet"/>
      <w:lvlText w:val="●"/>
      <w:lvlJc w:val="left"/>
      <w:pPr>
        <w:ind w:left="720" w:hanging="360"/>
      </w:pPr>
    </w:lvl>
    <w:lvl w:ilvl="1" w:tplc="C8002936">
      <w:start w:val="1"/>
      <w:numFmt w:val="bullet"/>
      <w:lvlText w:val="○"/>
      <w:lvlJc w:val="left"/>
      <w:pPr>
        <w:ind w:left="1440" w:hanging="360"/>
      </w:pPr>
    </w:lvl>
    <w:lvl w:ilvl="2" w:tplc="44BEAEF2">
      <w:start w:val="1"/>
      <w:numFmt w:val="bullet"/>
      <w:lvlText w:val="■"/>
      <w:lvlJc w:val="left"/>
      <w:pPr>
        <w:ind w:left="2160" w:hanging="360"/>
      </w:pPr>
    </w:lvl>
    <w:lvl w:ilvl="3" w:tplc="0916CCD0">
      <w:start w:val="1"/>
      <w:numFmt w:val="bullet"/>
      <w:lvlText w:val="●"/>
      <w:lvlJc w:val="left"/>
      <w:pPr>
        <w:ind w:left="2880" w:hanging="360"/>
      </w:pPr>
    </w:lvl>
    <w:lvl w:ilvl="4" w:tplc="E05CA97A">
      <w:start w:val="1"/>
      <w:numFmt w:val="bullet"/>
      <w:lvlText w:val="○"/>
      <w:lvlJc w:val="left"/>
      <w:pPr>
        <w:ind w:left="3600" w:hanging="360"/>
      </w:pPr>
    </w:lvl>
    <w:lvl w:ilvl="5" w:tplc="35ECE6E8">
      <w:start w:val="1"/>
      <w:numFmt w:val="bullet"/>
      <w:lvlText w:val="■"/>
      <w:lvlJc w:val="left"/>
      <w:pPr>
        <w:ind w:left="4320" w:hanging="360"/>
      </w:pPr>
    </w:lvl>
    <w:lvl w:ilvl="6" w:tplc="D0EEED80">
      <w:start w:val="1"/>
      <w:numFmt w:val="bullet"/>
      <w:lvlText w:val="●"/>
      <w:lvlJc w:val="left"/>
      <w:pPr>
        <w:ind w:left="5040" w:hanging="360"/>
      </w:pPr>
    </w:lvl>
    <w:lvl w:ilvl="7" w:tplc="DA6E29AE">
      <w:start w:val="1"/>
      <w:numFmt w:val="bullet"/>
      <w:lvlText w:val="●"/>
      <w:lvlJc w:val="left"/>
      <w:pPr>
        <w:ind w:left="5760" w:hanging="360"/>
      </w:pPr>
    </w:lvl>
    <w:lvl w:ilvl="8" w:tplc="730C00E6">
      <w:start w:val="1"/>
      <w:numFmt w:val="bullet"/>
      <w:lvlText w:val="●"/>
      <w:lvlJc w:val="left"/>
      <w:pPr>
        <w:ind w:left="6480" w:hanging="360"/>
      </w:pPr>
    </w:lvl>
  </w:abstractNum>
  <w:num w:numId="1" w16cid:durableId="15432079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0D"/>
    <w:rsid w:val="000F2FEC"/>
    <w:rsid w:val="003E4BF4"/>
    <w:rsid w:val="00A20224"/>
    <w:rsid w:val="00BE6708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E30C9"/>
  <w15:docId w15:val="{CDC02FA3-C9B1-9547-BD61-AF37F70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6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оператора связи в Администрацию Президента РФ</dc:title>
  <dc:creator>Шаблон обращения операторов связи в АП РФ</dc:creator>
  <cp:lastModifiedBy>Microsoft Office User</cp:lastModifiedBy>
  <cp:revision>4</cp:revision>
  <dcterms:created xsi:type="dcterms:W3CDTF">2026-05-05T11:17:00Z</dcterms:created>
  <dcterms:modified xsi:type="dcterms:W3CDTF">2026-05-05T11:33:00Z</dcterms:modified>
</cp:coreProperties>
</file>